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D0" w:rsidRPr="004D2BD0" w:rsidRDefault="004D2BD0" w:rsidP="004D2BD0">
      <w:pPr>
        <w:spacing w:after="160" w:line="259" w:lineRule="auto"/>
        <w:rPr>
          <w:rFonts w:ascii="Arial" w:hAnsi="Arial" w:cs="Arial"/>
          <w:color w:val="0481B4"/>
          <w:sz w:val="60"/>
          <w:szCs w:val="60"/>
          <w:shd w:val="clear" w:color="auto" w:fill="FFFFFF"/>
          <w:lang w:val="cs-CZ"/>
        </w:rPr>
      </w:pPr>
      <w:bookmarkStart w:id="0" w:name="_GoBack"/>
      <w:bookmarkEnd w:id="0"/>
      <w:r w:rsidRPr="004D2BD0">
        <w:rPr>
          <w:rFonts w:ascii="Arial" w:hAnsi="Arial" w:cs="Arial"/>
          <w:color w:val="0481B4"/>
          <w:sz w:val="60"/>
          <w:szCs w:val="60"/>
          <w:shd w:val="clear" w:color="auto" w:fill="FFFFFF"/>
          <w:lang w:val="cs-CZ"/>
        </w:rPr>
        <w:t>Povinnost dálkového odečtu vody a tepla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t xml:space="preserve">Měřiče teplé vody a tepla (případně indikátory, tam kde není technicky proveditelné či nákladově efektivní zajistit samostatné měření) pro rozdělování nákladů mezi konečné spotřebitele, </w:t>
      </w:r>
      <w:r w:rsidRPr="004D2BD0">
        <w:rPr>
          <w:b/>
          <w:bCs/>
          <w:lang w:val="cs-CZ"/>
        </w:rPr>
        <w:t>nainstalované po 25. říjnu 2020,</w:t>
      </w:r>
      <w:r w:rsidRPr="004D2BD0">
        <w:rPr>
          <w:lang w:val="cs-CZ"/>
        </w:rPr>
        <w:t xml:space="preserve"> </w:t>
      </w:r>
      <w:r w:rsidRPr="004D2BD0">
        <w:rPr>
          <w:b/>
          <w:bCs/>
          <w:lang w:val="cs-CZ"/>
        </w:rPr>
        <w:t>musí být dálkově odečitatelné.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t xml:space="preserve">Měřiče tepla a teplé vody, </w:t>
      </w:r>
      <w:r w:rsidRPr="004D2BD0">
        <w:rPr>
          <w:b/>
          <w:bCs/>
          <w:lang w:val="cs-CZ"/>
        </w:rPr>
        <w:t>instalované do 25. října 2020 včetně, musí být nejpozději do</w:t>
      </w:r>
      <w:r w:rsidRPr="004D2BD0">
        <w:rPr>
          <w:lang w:val="cs-CZ"/>
        </w:rPr>
        <w:t xml:space="preserve"> </w:t>
      </w:r>
      <w:r w:rsidRPr="004D2BD0">
        <w:rPr>
          <w:b/>
          <w:bCs/>
          <w:lang w:val="cs-CZ"/>
        </w:rPr>
        <w:t>1.1.2027</w:t>
      </w:r>
      <w:r w:rsidRPr="004D2BD0">
        <w:rPr>
          <w:lang w:val="cs-CZ"/>
        </w:rPr>
        <w:t xml:space="preserve"> vybaveny možností dálkového odečítání, nebo nahrazeny novými, dálkově odečitatelnými přístroji, pokud dotčený členský stát neprokáže, že to není nákladově efektivní.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t>V nových budovách s více bytovými jednotkami a v obytných částech nových víceúčelových budov, které jsou vybaveny ústředním ohřevem teplé užitkové vody nebo jsou zásobovány ze soustavy dálkového vytápění, nemohou být měřiče nahrazeny indikátory.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t xml:space="preserve">Důvodem těchto změn je Směrnice Evropského parlamentu a Rady (EU) 2018/2002 ze dne 11. prosince 2018, kterou se mění směrnice 2012/27/EU o energetické účinnosti, která požaduje, aby byli koneční uživatelé </w:t>
      </w:r>
      <w:r w:rsidRPr="004D2BD0">
        <w:rPr>
          <w:b/>
          <w:bCs/>
          <w:lang w:val="cs-CZ"/>
        </w:rPr>
        <w:t xml:space="preserve">častěji informováni o své spotřebě. </w:t>
      </w:r>
      <w:r w:rsidRPr="004D2BD0">
        <w:rPr>
          <w:lang w:val="cs-CZ"/>
        </w:rPr>
        <w:t>Jedná se o součást celé řady opatření, která mají vést ke snížení spotřeby energií a směrnice předpokládá, že informovaný konečný spotřebitel bude snižovat svou spotřebu…... Účel světí prostředky.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t>Členské státy mají uvést v účinnost právní a správní předpisy nezbytné pro dosažení souladu s touto směrnicí do dne 25. června 2020 (některé body do 25. října 2020).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t>Směrnice zavazuje každý členský stát, jemuž je určena, pokud jde o výsledek, jehož má být dosaženo.  Stanovení formy a prostředků je ponecháno vnitrostátním orgánům, uvidíme tedy, jak se s tím popere legislativa ČR.</w:t>
      </w:r>
    </w:p>
    <w:p w:rsidR="004D2BD0" w:rsidRPr="004D2BD0" w:rsidRDefault="002C726B" w:rsidP="004D2BD0">
      <w:pPr>
        <w:jc w:val="both"/>
        <w:rPr>
          <w:lang w:val="cs-CZ"/>
        </w:rPr>
      </w:pPr>
      <w:r>
        <w:rPr>
          <w:lang w:val="cs-CZ"/>
        </w:rPr>
        <w:pict>
          <v:rect id="_x0000_i1025" style="width:468pt;height:1.5pt" o:hralign="center" o:hrstd="t" o:hr="t" fillcolor="#a0a0a0" stroked="f"/>
        </w:pic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b/>
          <w:bCs/>
          <w:lang w:val="cs-CZ"/>
        </w:rPr>
        <w:t xml:space="preserve">Konečný spotřebitel se může těšit každý měsíc na vyúčtování/informace o spotřebě 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b/>
          <w:bCs/>
          <w:lang w:val="cs-CZ"/>
        </w:rPr>
        <w:t>Ode dne 25. října 2020</w:t>
      </w:r>
      <w:r w:rsidRPr="004D2BD0">
        <w:rPr>
          <w:lang w:val="cs-CZ"/>
        </w:rPr>
        <w:t xml:space="preserve"> jsou v případech, kdy byly instalovány dálkově odečitatelné měřiče nebo indikátory, poskytovány konečným spotřebitelům informace o vyúčtování nebo spotřebě alespoň jednou za čtvrt roku na vyžádání nebo automaticky, pokud si zvolili možnost dostávat vyúčtování v el. podobě, v ostatních případech dvakrát ročně.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b/>
          <w:bCs/>
          <w:lang w:val="cs-CZ"/>
        </w:rPr>
        <w:t>Od 1. ledna 2022</w:t>
      </w:r>
      <w:r w:rsidRPr="004D2BD0">
        <w:rPr>
          <w:lang w:val="cs-CZ"/>
        </w:rPr>
        <w:t xml:space="preserve"> jsou konečným uživatelům v případech, kdy byly instalovány dálkově odečitatelné měřiče nebo indikátory, poskytovány informace o vyúčtování nebo spotřebě alespoň </w:t>
      </w:r>
      <w:r w:rsidRPr="004D2BD0">
        <w:rPr>
          <w:b/>
          <w:bCs/>
          <w:lang w:val="cs-CZ"/>
        </w:rPr>
        <w:t>jednou za měsíc.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t xml:space="preserve">Z toho logicky vyplývá, že </w:t>
      </w:r>
      <w:r w:rsidRPr="004D2BD0">
        <w:rPr>
          <w:b/>
          <w:bCs/>
          <w:lang w:val="cs-CZ"/>
        </w:rPr>
        <w:t>od 1.1.2027</w:t>
      </w:r>
      <w:r w:rsidRPr="004D2BD0">
        <w:rPr>
          <w:lang w:val="cs-CZ"/>
        </w:rPr>
        <w:t xml:space="preserve"> budou informace poskytovány každý měsíc již v každém případě.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lastRenderedPageBreak/>
        <w:t xml:space="preserve">Informace mohou být zpřístupněny také prostřednictvím </w:t>
      </w:r>
      <w:r w:rsidRPr="004D2BD0">
        <w:rPr>
          <w:b/>
          <w:bCs/>
          <w:lang w:val="cs-CZ"/>
        </w:rPr>
        <w:t>internetu</w:t>
      </w:r>
      <w:r w:rsidRPr="004D2BD0">
        <w:rPr>
          <w:lang w:val="cs-CZ"/>
        </w:rPr>
        <w:t xml:space="preserve"> a aktualizovány tak často, jak to měřicí zařízení a používané systémy umožňují. </w:t>
      </w:r>
      <w:r w:rsidRPr="004D2BD0">
        <w:rPr>
          <w:b/>
          <w:bCs/>
          <w:lang w:val="cs-CZ"/>
        </w:rPr>
        <w:t>Samozřejmě můžete využít webové stránky pro bytová družstva a SVJ </w:t>
      </w:r>
      <w:hyperlink r:id="rId6" w:history="1">
        <w:r w:rsidRPr="004D2BD0">
          <w:rPr>
            <w:b/>
            <w:bCs/>
            <w:lang w:val="cs-CZ"/>
          </w:rPr>
          <w:t>https://webdomu.cz/</w:t>
        </w:r>
      </w:hyperlink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t>Vytápění a chlazení mohou být z této povinnosti mimo otopné/chladicí období vyjmuty.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t>Vyúčtování však není podmíněno vypořádáním přeplatku či nedoplatku, které bude probíhat nadále 1 x za rok.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t>Zdroj: </w:t>
      </w:r>
      <w:hyperlink r:id="rId7" w:tgtFrame="_blank" w:history="1">
        <w:r w:rsidRPr="004D2BD0">
          <w:rPr>
            <w:b/>
            <w:bCs/>
            <w:lang w:val="cs-CZ"/>
          </w:rPr>
          <w:t>SMĚRNICE EVROPSKÉHO PARLAMENTU A RADY (EU) 2018/2002</w:t>
        </w:r>
      </w:hyperlink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lang w:val="cs-CZ"/>
        </w:rPr>
        <w:t>Autor: Ing. Pavla Gajdáčková, jednatelka webDOMU s.r.o.</w:t>
      </w:r>
    </w:p>
    <w:p w:rsidR="004D2BD0" w:rsidRDefault="004D2BD0" w:rsidP="004D2BD0">
      <w:pPr>
        <w:pStyle w:val="Normlnweb"/>
        <w:jc w:val="both"/>
        <w:rPr>
          <w:b/>
          <w:bCs/>
          <w:lang w:val="cs-CZ"/>
        </w:rPr>
      </w:pPr>
      <w:r w:rsidRPr="004D2BD0">
        <w:rPr>
          <w:b/>
          <w:bCs/>
          <w:lang w:val="cs-CZ"/>
        </w:rPr>
        <w:t>Výhrada autora: článek, případně jeho části je možné šířit pouze s uvedením autora a zdroje; v případě šíření článku či jeho části na jiném webu či portálu je nutno uvést zdroj s </w:t>
      </w:r>
      <w:hyperlink r:id="rId8" w:tgtFrame="_blank" w:history="1">
        <w:r w:rsidRPr="004D2BD0">
          <w:rPr>
            <w:lang w:val="cs-CZ"/>
          </w:rPr>
          <w:t>aktivním proklikem</w:t>
        </w:r>
      </w:hyperlink>
      <w:r>
        <w:rPr>
          <w:b/>
          <w:bCs/>
          <w:lang w:val="cs-CZ"/>
        </w:rPr>
        <w:t>:</w:t>
      </w:r>
    </w:p>
    <w:p w:rsidR="004D2BD0" w:rsidRPr="004D2BD0" w:rsidRDefault="004D2BD0" w:rsidP="004D2BD0">
      <w:pPr>
        <w:pStyle w:val="Normlnweb"/>
        <w:jc w:val="both"/>
        <w:rPr>
          <w:lang w:val="cs-CZ"/>
        </w:rPr>
      </w:pPr>
      <w:r w:rsidRPr="004D2BD0">
        <w:rPr>
          <w:highlight w:val="yellow"/>
          <w:lang w:val="cs-CZ"/>
        </w:rPr>
        <w:t>ODKAZ NA WEBDOMU</w:t>
      </w:r>
    </w:p>
    <w:p w:rsidR="00CA2189" w:rsidRPr="004D2BD0" w:rsidRDefault="00CA2189" w:rsidP="004D2BD0">
      <w:pPr>
        <w:jc w:val="both"/>
        <w:rPr>
          <w:lang w:val="cs-CZ"/>
        </w:rPr>
      </w:pPr>
    </w:p>
    <w:sectPr w:rsidR="00CA2189" w:rsidRPr="004D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6B" w:rsidRDefault="002C726B" w:rsidP="004D2BD0">
      <w:r>
        <w:separator/>
      </w:r>
    </w:p>
  </w:endnote>
  <w:endnote w:type="continuationSeparator" w:id="0">
    <w:p w:rsidR="002C726B" w:rsidRDefault="002C726B" w:rsidP="004D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6B" w:rsidRDefault="002C726B" w:rsidP="004D2BD0">
      <w:r>
        <w:separator/>
      </w:r>
    </w:p>
  </w:footnote>
  <w:footnote w:type="continuationSeparator" w:id="0">
    <w:p w:rsidR="002C726B" w:rsidRDefault="002C726B" w:rsidP="004D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D0"/>
    <w:rsid w:val="00264C28"/>
    <w:rsid w:val="002C726B"/>
    <w:rsid w:val="004D2BD0"/>
    <w:rsid w:val="004E473C"/>
    <w:rsid w:val="00C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3A402-5579-4E92-B603-9BB9CBE8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BD0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D2B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BD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D2BD0"/>
  </w:style>
  <w:style w:type="paragraph" w:styleId="Zpat">
    <w:name w:val="footer"/>
    <w:basedOn w:val="Normln"/>
    <w:link w:val="ZpatChar"/>
    <w:uiPriority w:val="99"/>
    <w:unhideWhenUsed/>
    <w:rsid w:val="004D2BD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D2BD0"/>
  </w:style>
  <w:style w:type="character" w:customStyle="1" w:styleId="Nadpis2Char">
    <w:name w:val="Nadpis 2 Char"/>
    <w:basedOn w:val="Standardnpsmoodstavce"/>
    <w:link w:val="Nadpis2"/>
    <w:uiPriority w:val="9"/>
    <w:semiHidden/>
    <w:rsid w:val="004D2BD0"/>
    <w:rPr>
      <w:rFonts w:ascii="Calibri" w:hAnsi="Calibri" w:cs="Calibri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4D2B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D2BD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D2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domu.cz/s/aktual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CS/TXT/?uri=CELEX:32018L2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domu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Janostik</dc:creator>
  <cp:keywords/>
  <dc:description/>
  <cp:lastModifiedBy>Eva Rakovská</cp:lastModifiedBy>
  <cp:revision>2</cp:revision>
  <dcterms:created xsi:type="dcterms:W3CDTF">2019-11-24T20:33:00Z</dcterms:created>
  <dcterms:modified xsi:type="dcterms:W3CDTF">2019-11-24T20:33:00Z</dcterms:modified>
</cp:coreProperties>
</file>